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ДОГОВОР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ОБ ОКАЗАНИИ УСЛУГ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ПО ПРЕДОСТАВЛЕНИЮ ЭКСКЛЮЗИВНОГО ОБСЛУЖИВАНИЯ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  <w:r>
        <w:rPr>
          <w:rFonts w:ascii="Times New Roman" w:hAnsi="Times New Roman"/>
          <w:b w:val="1"/>
          <w:color w:val="000000"/>
          <w:sz w:val="20"/>
          <w:u w:val="single"/>
        </w:rPr>
        <w:t>ПАКЕТ - ДЕПОЗИТ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  <w:r>
        <w:rPr>
          <w:rFonts w:ascii="Times New Roman" w:hAnsi="Times New Roman"/>
          <w:b w:val="1"/>
          <w:color w:val="000000"/>
          <w:sz w:val="20"/>
          <w:u w:val="single"/>
        </w:rPr>
        <w:t xml:space="preserve">(ПУБЛИЧНАЯ ОФЕРТА)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</w:p>
    <w:p w14:paraId="07000000">
      <w:pPr>
        <w:tabs>
          <w:tab w:leader="none" w:pos="9355" w:val="righ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Москва</w:t>
      </w:r>
      <w:r>
        <w:rPr>
          <w:rFonts w:ascii="Times New Roman" w:hAnsi="Times New Roman"/>
          <w:sz w:val="20"/>
        </w:rPr>
        <w:tab/>
      </w:r>
    </w:p>
    <w:p w14:paraId="08000000">
      <w:pPr>
        <w:spacing w:line="240" w:lineRule="auto"/>
        <w:ind w:firstLine="1134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Настоящая оферта представляет собой официальное предложение ООО «НЕБАР ТОМСК» (далее Исполнитель) в лице Генерального директора Рудмина В.А. , действующего на основании Устава, адресованное неопределенному кругу ли</w:t>
      </w:r>
      <w:bookmarkStart w:id="1" w:name="_GoBack"/>
      <w:bookmarkEnd w:id="1"/>
      <w:r>
        <w:rPr>
          <w:rFonts w:ascii="Times New Roman" w:hAnsi="Times New Roman"/>
          <w:sz w:val="20"/>
        </w:rPr>
        <w:t>ц, но в единственном лице (далее – Гость), заключить договор на оказание услуг на нижеследующих условиях</w:t>
      </w:r>
    </w:p>
    <w:p w14:paraId="0900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ТЕРМИНЫ</w:t>
      </w:r>
    </w:p>
    <w:p w14:paraId="0A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В целях единого толкования и понимания, нижеприведенные термины используются в следующем значении:</w:t>
      </w:r>
    </w:p>
    <w:p w14:paraId="0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Публичная оферта (далее – оферта) </w:t>
      </w:r>
      <w:r>
        <w:rPr>
          <w:rFonts w:ascii="Times New Roman" w:hAnsi="Times New Roman"/>
          <w:sz w:val="20"/>
        </w:rPr>
        <w:t>– предложение Исполнителя, адресованное Гостю (физическому лицу, юридическому лицу или индивидуальному предпринимателю), заключить договор на оказание услуг на условиях, содержащихся в настоящей публичной оферте.</w:t>
      </w:r>
    </w:p>
    <w:p w14:paraId="0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Акцепт публичной оферты (далее – акцепт, акцепт оферты)</w:t>
      </w:r>
      <w:r>
        <w:rPr>
          <w:rFonts w:ascii="Times New Roman" w:hAnsi="Times New Roman"/>
          <w:sz w:val="20"/>
        </w:rPr>
        <w:t xml:space="preserve"> – полное и безоговорочное принятие Заказчиком условий настоящей публичной оферты путем совершения действий, указанных в разделе 2 публичной оферты. Акцепт оферты создает договор и признается заключенным.  Договор (далее Договор или Оферта) – возмездное соглашение между Исполнителем и Гостем на оказание услуг, заключенное посредством акцепта публичной оферты.</w:t>
      </w:r>
    </w:p>
    <w:p w14:paraId="0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Гость</w:t>
      </w:r>
      <w:r>
        <w:rPr>
          <w:rFonts w:ascii="Times New Roman" w:hAnsi="Times New Roman"/>
          <w:sz w:val="20"/>
        </w:rPr>
        <w:t xml:space="preserve"> – Физическое лицо, Юридическое лицо или индивидуальный предприниматель, имеющее намерение получить услуги, заключившее с Исполнителем договор на условиях, содержащихся в настоящей публичной оферте. Юридическое лицо или индивидуальный предприниматель, принявшее нижеизложенные условия и оплатившее услуги, признается Гостем. </w:t>
      </w:r>
    </w:p>
    <w:p w14:paraId="0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Стороны</w:t>
      </w:r>
      <w:r>
        <w:rPr>
          <w:rFonts w:ascii="Times New Roman" w:hAnsi="Times New Roman"/>
          <w:sz w:val="20"/>
        </w:rPr>
        <w:t xml:space="preserve"> – Гость и Исполнитель, именуемые в дальнейшем при совместном упоминании.  </w:t>
      </w:r>
    </w:p>
    <w:p w14:paraId="0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0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2. </w:t>
      </w:r>
      <w:r>
        <w:rPr>
          <w:rFonts w:ascii="Times New Roman" w:hAnsi="Times New Roman"/>
          <w:b w:val="1"/>
          <w:color w:val="000000"/>
          <w:sz w:val="20"/>
        </w:rPr>
        <w:t>ПРЕДМЕТ ДОГОВОРА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2</w:t>
      </w:r>
      <w:r>
        <w:rPr>
          <w:rFonts w:ascii="Times New Roman" w:hAnsi="Times New Roman"/>
          <w:color w:val="000000"/>
          <w:sz w:val="20"/>
        </w:rPr>
        <w:t xml:space="preserve">.1 Исполнитель оказывает Гостю сформированное комплексное аукционное меню на индивидуальных условиях в </w:t>
      </w:r>
      <w:r>
        <w:rPr>
          <w:rFonts w:ascii="Times New Roman" w:hAnsi="Times New Roman"/>
          <w:color w:val="000000"/>
          <w:sz w:val="20"/>
        </w:rPr>
        <w:t>баре «</w:t>
      </w:r>
      <w:r>
        <w:rPr>
          <w:rFonts w:ascii="Times New Roman" w:hAnsi="Times New Roman"/>
          <w:color w:val="000000"/>
          <w:sz w:val="20"/>
        </w:rPr>
        <w:t xml:space="preserve">Небар», расположенном по адресу: </w:t>
      </w:r>
      <w:r>
        <w:rPr>
          <w:rFonts w:ascii="Times New Roman" w:hAnsi="Times New Roman"/>
          <w:color w:val="000000"/>
          <w:sz w:val="20"/>
        </w:rPr>
        <w:t xml:space="preserve"> г. Томск, Проспект Ленина, 41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14:paraId="12000000">
      <w:pPr>
        <w:spacing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Б</w:t>
      </w:r>
      <w:r>
        <w:rPr>
          <w:rFonts w:ascii="Times New Roman" w:hAnsi="Times New Roman"/>
          <w:color w:val="000000"/>
          <w:sz w:val="20"/>
        </w:rPr>
        <w:t xml:space="preserve">ронь на </w:t>
      </w:r>
      <w:r>
        <w:rPr>
          <w:rFonts w:ascii="Times New Roman" w:hAnsi="Times New Roman"/>
          <w:color w:val="000000"/>
          <w:sz w:val="20"/>
        </w:rPr>
        <w:t>дату, количество</w:t>
      </w:r>
      <w:r>
        <w:rPr>
          <w:rFonts w:ascii="Times New Roman" w:hAnsi="Times New Roman"/>
          <w:color w:val="000000"/>
          <w:sz w:val="20"/>
        </w:rPr>
        <w:t xml:space="preserve"> чел</w:t>
      </w:r>
      <w:r>
        <w:rPr>
          <w:rFonts w:ascii="Times New Roman" w:hAnsi="Times New Roman"/>
          <w:color w:val="000000"/>
          <w:sz w:val="20"/>
        </w:rPr>
        <w:t xml:space="preserve">, время и </w:t>
      </w:r>
      <w:r>
        <w:rPr>
          <w:rFonts w:ascii="Times New Roman" w:hAnsi="Times New Roman"/>
          <w:color w:val="000000"/>
          <w:sz w:val="20"/>
        </w:rPr>
        <w:t>стол</w:t>
      </w:r>
      <w:r>
        <w:rPr>
          <w:rFonts w:ascii="Times New Roman" w:hAnsi="Times New Roman"/>
          <w:color w:val="000000"/>
          <w:sz w:val="20"/>
        </w:rPr>
        <w:t xml:space="preserve"> Гость определяет выбрав стоимость на сайте Исполнителя с внесением соответствующей оплаты по указанной сумме в размере и соотношении к количеству человек.</w:t>
      </w:r>
    </w:p>
    <w:tbl>
      <w:tblPr>
        <w:tblStyle w:val="Style_3"/>
        <w:tblInd w:type="dxa" w:w="994"/>
        <w:tblLayout w:type="fixed"/>
      </w:tblPr>
      <w:tblGrid>
        <w:gridCol w:w="3585"/>
        <w:gridCol w:w="1577"/>
      </w:tblGrid>
      <w:t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Депозит за столиком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(Пятница – Суббота, Праздничные Дни,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период с 23:00 до 06:00)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</w:tcPr>
          <w:p w14:paraId="17000000">
            <w:pPr>
              <w:tabs>
                <w:tab w:leader="none" w:pos="20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18000000">
            <w:pPr>
              <w:tabs>
                <w:tab w:leader="none" w:pos="20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Стоимость, </w:t>
            </w:r>
          </w:p>
          <w:p w14:paraId="19000000">
            <w:pPr>
              <w:tabs>
                <w:tab w:leader="none" w:pos="20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руб.</w:t>
            </w:r>
          </w:p>
        </w:tc>
      </w:tr>
      <w:t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Стол  (Основной Танцпол)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 руб. на чел.</w:t>
            </w:r>
          </w:p>
        </w:tc>
      </w:tr>
      <w:t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Стол  (Караоке)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 руб. на чел.</w:t>
            </w:r>
          </w:p>
        </w:tc>
      </w:tr>
      <w:t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Стол </w:t>
            </w:r>
            <w:r>
              <w:rPr>
                <w:rFonts w:ascii="Times New Roman" w:hAnsi="Times New Roman"/>
                <w:b w:val="1"/>
                <w:sz w:val="20"/>
              </w:rPr>
              <w:t>VIP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15 000 – 20 000 руб. за стол</w:t>
            </w:r>
          </w:p>
        </w:tc>
      </w:tr>
      <w:tr>
        <w:trPr>
          <w:trHeight w:hRule="atLeast" w:val="200"/>
        </w:trPr>
        <w:tc>
          <w:tcPr>
            <w:tcW w:type="dxa" w:w="3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  <w:vAlign w:val="bottom"/>
          </w:tcPr>
          <w:p/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6"/>
              <w:right w:type="dxa" w:w="56"/>
            </w:tcMar>
          </w:tcPr>
          <w:p/>
        </w:tc>
      </w:tr>
    </w:tbl>
    <w:p w14:paraId="20000000">
      <w:pPr>
        <w:spacing w:after="0"/>
        <w:ind w:hanging="720" w:left="720"/>
        <w:rPr>
          <w:rFonts w:ascii="Times New Roman" w:hAnsi="Times New Roman"/>
          <w:color w:val="000000"/>
          <w:sz w:val="20"/>
          <w:u w:val="single"/>
        </w:rPr>
      </w:pPr>
    </w:p>
    <w:p w14:paraId="21000000">
      <w:pPr>
        <w:numPr>
          <w:ilvl w:val="0"/>
          <w:numId w:val="2"/>
        </w:numPr>
        <w:spacing w:after="0"/>
        <w:ind w:hanging="360" w:left="360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Исполнитель обязуется предоставить Гостю содержимое согласованного стола в согласованных сторонами объемах.</w:t>
      </w:r>
    </w:p>
    <w:p w14:paraId="22000000">
      <w:pPr>
        <w:numPr>
          <w:ilvl w:val="0"/>
          <w:numId w:val="2"/>
        </w:numPr>
        <w:spacing w:after="0"/>
        <w:ind w:hanging="360" w:left="360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Понятие «депозит» предполагает открытие счёта на заказ блюд и напитков согласно основного меню в баре «Небар».</w:t>
      </w:r>
    </w:p>
    <w:p w14:paraId="23000000">
      <w:pPr>
        <w:numPr>
          <w:ilvl w:val="0"/>
          <w:numId w:val="2"/>
        </w:numPr>
        <w:spacing w:after="0"/>
        <w:ind w:hanging="360" w:left="360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При заказе Гостем позиций из обычного меню, на них не распространяются скидки, рекламные и скидочные акции.</w:t>
      </w:r>
    </w:p>
    <w:p w14:paraId="24000000">
      <w:pPr>
        <w:numPr>
          <w:ilvl w:val="0"/>
          <w:numId w:val="2"/>
        </w:numPr>
        <w:spacing w:after="0"/>
        <w:ind w:hanging="360" w:left="360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Вход в бар для Гостя и его приглашенных друзей по забронированному заранее и оплаченному депозиту является бесплатным.</w:t>
      </w:r>
    </w:p>
    <w:p w14:paraId="25000000">
      <w:pPr>
        <w:numPr>
          <w:ilvl w:val="0"/>
          <w:numId w:val="2"/>
        </w:numPr>
        <w:spacing w:after="0"/>
        <w:ind w:hanging="360" w:left="360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 xml:space="preserve">При сокращении </w:t>
      </w:r>
      <w:r>
        <w:rPr>
          <w:rFonts w:ascii="Times New Roman" w:hAnsi="Times New Roman"/>
          <w:color w:val="000000"/>
          <w:sz w:val="20"/>
          <w:u w:val="single"/>
        </w:rPr>
        <w:t>числа,</w:t>
      </w:r>
      <w:r>
        <w:rPr>
          <w:rFonts w:ascii="Times New Roman" w:hAnsi="Times New Roman"/>
          <w:color w:val="000000"/>
          <w:sz w:val="20"/>
          <w:u w:val="single"/>
        </w:rPr>
        <w:t xml:space="preserve"> приглашённых друзей Гостя стоимость депозита не возвращается.</w:t>
      </w:r>
    </w:p>
    <w:p w14:paraId="26000000">
      <w:pPr>
        <w:spacing w:after="0"/>
        <w:ind/>
        <w:rPr>
          <w:rFonts w:ascii="Times New Roman" w:hAnsi="Times New Roman"/>
          <w:color w:val="000000"/>
          <w:sz w:val="20"/>
          <w:u w:val="single"/>
        </w:rPr>
      </w:pPr>
    </w:p>
    <w:p w14:paraId="27000000">
      <w:pPr>
        <w:pStyle w:val="Style_1"/>
        <w:numPr>
          <w:ilvl w:val="0"/>
          <w:numId w:val="3"/>
        </w:numPr>
        <w:spacing w:after="0"/>
        <w:ind w:firstLine="0" w:left="0"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ЦЕНА ДОГОВОРА И ПОРЯДОК РАСЧЁТА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.1 Гость заключает настоящий договор путем подписания договора, либо в форме бронирования столика с указанием условий по выбранному классу обслуживанию посредствам телефонного сообщения, непосредственного в баре.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.2 При выборе условий Гость согласовывает дату, время и конкретный столик в баре.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.3 Гость вносит предоплату в размере 50% не позднее 1-го календарного дня до мероприятия.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 xml:space="preserve">.4 Если до оказания услуг Исполнителем остается менее 7 календарных </w:t>
      </w:r>
      <w:r>
        <w:rPr>
          <w:rFonts w:ascii="Times New Roman" w:hAnsi="Times New Roman"/>
          <w:color w:val="000000"/>
          <w:sz w:val="20"/>
        </w:rPr>
        <w:t>дней, Предоплата</w:t>
      </w:r>
      <w:r>
        <w:rPr>
          <w:rFonts w:ascii="Times New Roman" w:hAnsi="Times New Roman"/>
          <w:color w:val="000000"/>
          <w:sz w:val="20"/>
        </w:rPr>
        <w:t>, внесенная Гостем, не возвращается, так как предложение данного договора являются аукционными.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.5 Если количество гостей составляет 6 человек и более - взимается сервисный сбор 10% от суммы стола (стоимость пакета не попадает под сервисный сбор).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2E000000">
      <w:pPr>
        <w:pStyle w:val="Style_1"/>
        <w:numPr>
          <w:ilvl w:val="0"/>
          <w:numId w:val="4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СРОК ДЕЙСТВИЯ И ИЗМЕНЕНИЯ ОФЕРТЫ</w:t>
      </w:r>
    </w:p>
    <w:p w14:paraId="2F000000">
      <w:pPr>
        <w:pStyle w:val="Style_1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Акцепт Оферты Гостем создает Договор (статья 438 Гражданского Кодекса РФ) на условиях Оферты.</w:t>
      </w:r>
    </w:p>
    <w:p w14:paraId="30000000">
      <w:pPr>
        <w:pStyle w:val="Style_1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Договор вступает в силу с момента оплаты условий Оферты Гостем и действует до момента исполнения Исполнителем обязательств по оказанию услуг в объеме, соответствующем размеру произведенной Гостем по Договору предоплаты.</w:t>
      </w:r>
    </w:p>
    <w:p w14:paraId="31000000">
      <w:pPr>
        <w:pStyle w:val="Style_1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Гость соглашается и признает, что внесение изменений в Оферту влечет за собой внесение этих изменений в заключенный и действующий между Гостем и Исполнителем Договор, и эти изменения в Договор вступают в силу одновременно с такими изменениями в Оферте.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отзыва Оферты Исполнителем в течение срока действия Договора, Договор считается прекращенным с момента отзыва.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4000000">
      <w:pPr>
        <w:pStyle w:val="Style_1"/>
        <w:numPr>
          <w:ilvl w:val="0"/>
          <w:numId w:val="4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ЗАКЛЮЧИТЕЛЬНЫЕ ПОЛОЖЕНИЯ</w:t>
      </w:r>
    </w:p>
    <w:p w14:paraId="35000000">
      <w:pPr>
        <w:pStyle w:val="Style_1"/>
        <w:numPr>
          <w:ilvl w:val="1"/>
          <w:numId w:val="5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Настоящий Договор оферта может быть расторгнут по соглашению </w:t>
      </w:r>
      <w:r>
        <w:rPr>
          <w:rFonts w:ascii="Times New Roman" w:hAnsi="Times New Roman"/>
          <w:sz w:val="20"/>
        </w:rPr>
        <w:t>Сторон</w:t>
      </w:r>
      <w:r>
        <w:rPr>
          <w:rFonts w:ascii="Times New Roman" w:hAnsi="Times New Roman"/>
          <w:sz w:val="20"/>
        </w:rPr>
        <w:t>.</w:t>
      </w:r>
    </w:p>
    <w:p w14:paraId="36000000">
      <w:pPr>
        <w:pStyle w:val="Style_1"/>
        <w:numPr>
          <w:ilvl w:val="1"/>
          <w:numId w:val="6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Договор оферта может быть расторгнут во внесудебном порядке по требованию одной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из Сторон только при существенном нарушении условий одной из Сторон, или в иных случаях, предусмотренных действующим законодательством Российской Федерации.</w:t>
      </w:r>
    </w:p>
    <w:p w14:paraId="38000000">
      <w:pPr>
        <w:pStyle w:val="Style_1"/>
        <w:numPr>
          <w:ilvl w:val="1"/>
          <w:numId w:val="6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акцепте настоящей оферты </w:t>
      </w:r>
      <w:r>
        <w:rPr>
          <w:rFonts w:ascii="Times New Roman" w:hAnsi="Times New Roman"/>
          <w:sz w:val="20"/>
        </w:rPr>
        <w:t>Гость</w:t>
      </w:r>
      <w:r>
        <w:rPr>
          <w:rFonts w:ascii="Times New Roman" w:hAnsi="Times New Roman"/>
          <w:sz w:val="20"/>
        </w:rPr>
        <w:t xml:space="preserve"> даёт своё согласие на обработку и хранение своих персонал</w:t>
      </w:r>
      <w:r>
        <w:rPr>
          <w:rFonts w:ascii="Times New Roman" w:hAnsi="Times New Roman"/>
          <w:sz w:val="20"/>
        </w:rPr>
        <w:t>ьных данных Исполнителю</w:t>
      </w:r>
      <w:r>
        <w:rPr>
          <w:rFonts w:ascii="Times New Roman" w:hAnsi="Times New Roman"/>
          <w:sz w:val="20"/>
        </w:rPr>
        <w:t xml:space="preserve">. </w:t>
      </w:r>
    </w:p>
    <w:p w14:paraId="39000000">
      <w:pPr>
        <w:pStyle w:val="Style_1"/>
        <w:spacing w:after="0" w:line="240" w:lineRule="auto"/>
        <w:ind w:firstLine="0" w:left="0"/>
        <w:rPr>
          <w:rFonts w:ascii="Times New Roman" w:hAnsi="Times New Roman"/>
          <w:b w:val="1"/>
          <w:sz w:val="20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B000000">
      <w:pPr>
        <w:pStyle w:val="Style_1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РЕКВИЗИТЫ</w:t>
      </w:r>
    </w:p>
    <w:tbl>
      <w:tblPr>
        <w:tblStyle w:val="Style_3"/>
        <w:tblLayout w:type="fixed"/>
      </w:tblPr>
      <w:tblGrid>
        <w:gridCol w:w="9205"/>
      </w:tblGrid>
      <w:tr>
        <w:trPr>
          <w:trHeight w:hRule="atLeast" w:val="4471"/>
        </w:trPr>
        <w:tc>
          <w:tcPr>
            <w:tcW w:type="dxa" w:w="92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  <w:t>«Исполнитель»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ОГРН  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1237000003789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ИНН  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7000006421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КПП  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700001001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Юридический адрес  </w:t>
            </w:r>
          </w:p>
          <w:p w14:paraId="46000000">
            <w:pPr>
              <w:tabs>
                <w:tab w:leader="none" w:pos="607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634050, Томская область,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г. Томск, </w:t>
            </w:r>
            <w:r>
              <w:rPr>
                <w:rFonts w:ascii="Times New Roman" w:hAnsi="Times New Roman"/>
                <w:sz w:val="24"/>
              </w:rPr>
              <w:t>пр-кт</w:t>
            </w:r>
            <w:r>
              <w:rPr>
                <w:rFonts w:ascii="Times New Roman" w:hAnsi="Times New Roman"/>
                <w:sz w:val="24"/>
              </w:rPr>
              <w:t xml:space="preserve"> Ленина, дом 41, помещение 76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р\с </w:t>
            </w:r>
            <w:r>
              <w:rPr>
                <w:rFonts w:ascii="Times New Roman" w:hAnsi="Times New Roman"/>
                <w:color w:val="1A1B1C"/>
                <w:sz w:val="24"/>
                <w:highlight w:val="white"/>
              </w:rPr>
              <w:t>40702810400150003280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 Рудмин В.А.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Подпись______________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4F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"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4">
    <w:lvl w:ilvl="0">
      <w:start w:val="5"/>
      <w:numFmt w:val="decimal"/>
      <w:lvlText w:val="%1"/>
      <w:lvlJc w:val="left"/>
      <w:pPr>
        <w:ind w:hanging="360" w:left="360"/>
      </w:pPr>
      <w:rPr>
        <w:b w:val="0"/>
      </w:rPr>
    </w:lvl>
    <w:lvl w:ilvl="1">
      <w:start w:val="1"/>
      <w:numFmt w:val="decimal"/>
      <w:lvlText w:val="%1.%2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b w:val="0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b w:val="0"/>
      </w:rPr>
    </w:lvl>
    <w:lvl w:ilvl="4">
      <w:start w:val="1"/>
      <w:numFmt w:val="decimal"/>
      <w:lvlText w:val="%1.%2.%3.%4.%5"/>
      <w:lvlJc w:val="left"/>
      <w:pPr>
        <w:ind w:hanging="1080" w:left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hanging="1440" w:left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hanging="1800" w:left="1800"/>
      </w:pPr>
      <w:rPr>
        <w:b w:val="0"/>
      </w:rPr>
    </w:lvl>
  </w:abstractNum>
  <w:abstractNum w:abstractNumId="5">
    <w:lvl w:ilvl="0">
      <w:start w:val="5"/>
      <w:numFmt w:val="decimal"/>
      <w:lvlText w:val="%1."/>
      <w:lvlJc w:val="left"/>
      <w:pPr>
        <w:ind w:hanging="360" w:left="360"/>
      </w:pPr>
      <w:rPr>
        <w:b w:val="0"/>
      </w:rPr>
    </w:lvl>
    <w:lvl w:ilvl="1">
      <w:start w:val="2"/>
      <w:numFmt w:val="decimal"/>
      <w:lvlText w:val="%1.%2.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b w:val="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able of figures"/>
    <w:link w:val="Style_5_ch"/>
    <w:pPr>
      <w:spacing w:after="0"/>
      <w:ind/>
    </w:pPr>
  </w:style>
  <w:style w:styleId="Style_5_ch" w:type="character">
    <w:name w:val="table of figures"/>
    <w:link w:val="Style_5"/>
  </w:style>
  <w:style w:styleId="Style_6" w:type="paragraph">
    <w:name w:val="toc 2"/>
    <w:link w:val="Style_6_ch"/>
    <w:uiPriority w:val="39"/>
    <w:pPr>
      <w:spacing w:after="57"/>
      <w:ind w:firstLine="0" w:left="283"/>
    </w:pPr>
  </w:style>
  <w:style w:styleId="Style_6_ch" w:type="character">
    <w:name w:val="toc 2"/>
    <w:link w:val="Style_6"/>
  </w:style>
  <w:style w:styleId="Style_7" w:type="paragraph">
    <w:name w:val="endnote reference"/>
    <w:link w:val="Style_7_ch"/>
    <w:rPr>
      <w:vertAlign w:val="superscript"/>
    </w:rPr>
  </w:style>
  <w:style w:styleId="Style_7_ch" w:type="character">
    <w:name w:val="endnote reference"/>
    <w:link w:val="Style_7"/>
    <w:rPr>
      <w:vertAlign w:val="superscript"/>
    </w:rPr>
  </w:style>
  <w:style w:styleId="Style_8" w:type="paragraph">
    <w:name w:val="Quote"/>
    <w:link w:val="Style_8_ch"/>
    <w:pPr>
      <w:ind w:firstLine="0" w:left="720" w:right="720"/>
    </w:pPr>
    <w:rPr>
      <w:i w:val="1"/>
    </w:rPr>
  </w:style>
  <w:style w:styleId="Style_8_ch" w:type="character">
    <w:name w:val="Quote"/>
    <w:link w:val="Style_8"/>
    <w:rPr>
      <w:i w:val="1"/>
    </w:rPr>
  </w:style>
  <w:style w:styleId="Style_9" w:type="paragraph">
    <w:name w:val="toc 4"/>
    <w:link w:val="Style_9_ch"/>
    <w:uiPriority w:val="39"/>
    <w:pPr>
      <w:spacing w:after="57"/>
      <w:ind w:firstLine="0" w:left="850"/>
    </w:pPr>
  </w:style>
  <w:style w:styleId="Style_9_ch" w:type="character">
    <w:name w:val="toc 4"/>
    <w:link w:val="Style_9"/>
  </w:style>
  <w:style w:styleId="Style_10" w:type="paragraph">
    <w:name w:val="heading 7"/>
    <w:link w:val="Style_10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link w:val="Style_10"/>
    <w:rPr>
      <w:rFonts w:ascii="Arial" w:hAnsi="Arial"/>
      <w:b w:val="1"/>
      <w:i w:val="1"/>
    </w:rPr>
  </w:style>
  <w:style w:styleId="Style_11" w:type="paragraph">
    <w:name w:val="toc 6"/>
    <w:link w:val="Style_11_ch"/>
    <w:uiPriority w:val="39"/>
    <w:pPr>
      <w:spacing w:after="57"/>
      <w:ind w:firstLine="0" w:left="1417"/>
    </w:pPr>
  </w:style>
  <w:style w:styleId="Style_11_ch" w:type="character">
    <w:name w:val="toc 6"/>
    <w:link w:val="Style_11"/>
  </w:style>
  <w:style w:styleId="Style_12" w:type="paragraph">
    <w:name w:val="toc 7"/>
    <w:link w:val="Style_12_ch"/>
    <w:uiPriority w:val="39"/>
    <w:pPr>
      <w:spacing w:after="57"/>
      <w:ind w:firstLine="0" w:left="1701"/>
    </w:pPr>
  </w:style>
  <w:style w:styleId="Style_12_ch" w:type="character">
    <w:name w:val="toc 7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footer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footer"/>
    <w:link w:val="Style_14"/>
  </w:style>
  <w:style w:styleId="Style_15" w:type="paragraph">
    <w:name w:val="heading 3"/>
    <w:link w:val="Style_15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link w:val="Style_15"/>
    <w:rPr>
      <w:rFonts w:ascii="Arial" w:hAnsi="Arial"/>
      <w:sz w:val="30"/>
    </w:rPr>
  </w:style>
  <w:style w:styleId="Style_16" w:type="paragraph">
    <w:name w:val="Intense Quote"/>
    <w:link w:val="Style_16_ch"/>
    <w:pPr>
      <w:ind w:firstLine="0" w:left="720" w:right="720"/>
    </w:pPr>
    <w:rPr>
      <w:i w:val="1"/>
    </w:rPr>
  </w:style>
  <w:style w:styleId="Style_16_ch" w:type="character">
    <w:name w:val="Intense Quote"/>
    <w:link w:val="Style_16"/>
    <w:rPr>
      <w:i w:val="1"/>
    </w:rPr>
  </w:style>
  <w:style w:styleId="Style_17" w:type="paragraph">
    <w:name w:val="header"/>
    <w:link w:val="Style_1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header"/>
    <w:link w:val="Style_17"/>
  </w:style>
  <w:style w:styleId="Style_18" w:type="paragraph">
    <w:name w:val="heading 9"/>
    <w:link w:val="Style_18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link w:val="Style_18"/>
    <w:rPr>
      <w:rFonts w:ascii="Arial" w:hAnsi="Arial"/>
      <w:i w:val="1"/>
      <w:sz w:val="21"/>
    </w:rPr>
  </w:style>
  <w:style w:styleId="Style_19" w:type="paragraph">
    <w:name w:val="TOC Heading"/>
    <w:link w:val="Style_19_ch"/>
  </w:style>
  <w:style w:styleId="Style_19_ch" w:type="character">
    <w:name w:val="TOC Heading"/>
    <w:link w:val="Style_19"/>
  </w:style>
  <w:style w:styleId="Style_2" w:type="paragraph">
    <w:name w:val="Body Text"/>
    <w:basedOn w:val="Style_4"/>
    <w:link w:val="Style_2_ch"/>
    <w:pPr>
      <w:spacing w:after="120"/>
      <w:ind/>
    </w:pPr>
    <w:rPr>
      <w:rFonts w:ascii="Calibri" w:hAnsi="Calibri"/>
    </w:rPr>
  </w:style>
  <w:style w:styleId="Style_2_ch" w:type="character">
    <w:name w:val="Body Text"/>
    <w:basedOn w:val="Style_4_ch"/>
    <w:link w:val="Style_2"/>
    <w:rPr>
      <w:rFonts w:ascii="Calibri" w:hAnsi="Calibri"/>
    </w:rPr>
  </w:style>
  <w:style w:styleId="Style_20" w:type="paragraph">
    <w:name w:val="endnote text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 text"/>
    <w:link w:val="Style_20"/>
    <w:rPr>
      <w:sz w:val="20"/>
    </w:rPr>
  </w:style>
  <w:style w:styleId="Style_21" w:type="paragraph">
    <w:name w:val="caption"/>
    <w:link w:val="Style_21_ch"/>
    <w:rPr>
      <w:b w:val="1"/>
      <w:color w:themeColor="accent1" w:val="4F81BD"/>
      <w:sz w:val="18"/>
    </w:rPr>
  </w:style>
  <w:style w:styleId="Style_21_ch" w:type="character">
    <w:name w:val="caption"/>
    <w:link w:val="Style_21"/>
    <w:rPr>
      <w:b w:val="1"/>
      <w:color w:themeColor="accent1" w:val="4F81BD"/>
      <w:sz w:val="18"/>
    </w:rPr>
  </w:style>
  <w:style w:styleId="Style_22" w:type="paragraph">
    <w:name w:val="toc 3"/>
    <w:link w:val="Style_22_ch"/>
    <w:uiPriority w:val="39"/>
    <w:pPr>
      <w:spacing w:after="57"/>
      <w:ind w:firstLine="0" w:left="567"/>
    </w:pPr>
  </w:style>
  <w:style w:styleId="Style_22_ch" w:type="character">
    <w:name w:val="toc 3"/>
    <w:link w:val="Style_22"/>
  </w:style>
  <w:style w:styleId="Style_23" w:type="paragraph">
    <w:name w:val="heading 5"/>
    <w:link w:val="Style_23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link w:val="Style_23"/>
    <w:rPr>
      <w:rFonts w:ascii="Arial" w:hAnsi="Arial"/>
      <w:b w:val="1"/>
      <w:sz w:val="24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link w:val="Style_24"/>
    <w:rPr>
      <w:rFonts w:ascii="Arial" w:hAnsi="Arial"/>
      <w:sz w:val="40"/>
    </w:rPr>
  </w:style>
  <w:style w:styleId="Style_1" w:type="paragraph">
    <w:name w:val="List Paragraph"/>
    <w:link w:val="Style_1_ch"/>
    <w:pPr>
      <w:ind w:firstLine="0" w:left="720"/>
      <w:contextualSpacing w:val="1"/>
    </w:pPr>
  </w:style>
  <w:style w:styleId="Style_1_ch" w:type="character">
    <w:name w:val="List Paragraph"/>
    <w:link w:val="Style_1"/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link w:val="Style_26"/>
    <w:rPr>
      <w:sz w:val="18"/>
    </w:rPr>
  </w:style>
  <w:style w:styleId="Style_27" w:type="paragraph">
    <w:name w:val="heading 8"/>
    <w:link w:val="Style_27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7_ch" w:type="character">
    <w:name w:val="heading 8"/>
    <w:link w:val="Style_27"/>
    <w:rPr>
      <w:rFonts w:ascii="Arial" w:hAnsi="Arial"/>
      <w:i w:val="1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toc 1"/>
    <w:link w:val="Style_29_ch"/>
    <w:uiPriority w:val="39"/>
    <w:pPr>
      <w:spacing w:after="57"/>
      <w:ind/>
    </w:pPr>
  </w:style>
  <w:style w:styleId="Style_29_ch" w:type="character">
    <w:name w:val="toc 1"/>
    <w:link w:val="Style_29"/>
  </w:style>
  <w:style w:styleId="Style_30" w:type="paragraph">
    <w:name w:val="Footer Char"/>
    <w:link w:val="Style_30_ch"/>
  </w:style>
  <w:style w:styleId="Style_30_ch" w:type="character">
    <w:name w:val="Footer Char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link w:val="Style_32_ch"/>
    <w:uiPriority w:val="39"/>
    <w:pPr>
      <w:spacing w:after="57"/>
      <w:ind w:firstLine="0" w:left="2268"/>
    </w:pPr>
  </w:style>
  <w:style w:styleId="Style_32_ch" w:type="character">
    <w:name w:val="toc 9"/>
    <w:link w:val="Style_32"/>
  </w:style>
  <w:style w:styleId="Style_33" w:type="paragraph">
    <w:name w:val="toc 8"/>
    <w:link w:val="Style_33_ch"/>
    <w:uiPriority w:val="39"/>
    <w:pPr>
      <w:spacing w:after="57"/>
      <w:ind w:firstLine="0" w:left="1984"/>
    </w:pPr>
  </w:style>
  <w:style w:styleId="Style_33_ch" w:type="character">
    <w:name w:val="toc 8"/>
    <w:link w:val="Style_33"/>
  </w:style>
  <w:style w:styleId="Style_34" w:type="paragraph">
    <w:name w:val="toc 5"/>
    <w:link w:val="Style_34_ch"/>
    <w:uiPriority w:val="39"/>
    <w:pPr>
      <w:spacing w:after="57"/>
      <w:ind w:firstLine="0" w:left="1134"/>
    </w:pPr>
  </w:style>
  <w:style w:styleId="Style_34_ch" w:type="character">
    <w:name w:val="toc 5"/>
    <w:link w:val="Style_34"/>
  </w:style>
  <w:style w:styleId="Style_35" w:type="paragraph">
    <w:name w:val="footnote reference"/>
    <w:link w:val="Style_35_ch"/>
    <w:rPr>
      <w:vertAlign w:val="superscript"/>
    </w:rPr>
  </w:style>
  <w:style w:styleId="Style_35_ch" w:type="character">
    <w:name w:val="footnote reference"/>
    <w:link w:val="Style_35"/>
    <w:rPr>
      <w:vertAlign w:val="superscript"/>
    </w:rPr>
  </w:style>
  <w:style w:styleId="Style_36" w:type="paragraph">
    <w:name w:val="Subtitle"/>
    <w:link w:val="Style_36_ch"/>
    <w:uiPriority w:val="11"/>
    <w:qFormat/>
    <w:pPr>
      <w:spacing w:before="200"/>
      <w:ind/>
    </w:pPr>
    <w:rPr>
      <w:sz w:val="24"/>
    </w:rPr>
  </w:style>
  <w:style w:styleId="Style_36_ch" w:type="character">
    <w:name w:val="Subtitle"/>
    <w:link w:val="Style_36"/>
    <w:rPr>
      <w:sz w:val="24"/>
    </w:rPr>
  </w:style>
  <w:style w:styleId="Style_37" w:type="paragraph">
    <w:name w:val="Title"/>
    <w:link w:val="Style_37_ch"/>
    <w:uiPriority w:val="10"/>
    <w:qFormat/>
    <w:pPr>
      <w:spacing w:before="300"/>
      <w:ind/>
      <w:contextualSpacing w:val="1"/>
    </w:pPr>
    <w:rPr>
      <w:sz w:val="48"/>
    </w:rPr>
  </w:style>
  <w:style w:styleId="Style_37_ch" w:type="character">
    <w:name w:val="Title"/>
    <w:link w:val="Style_37"/>
    <w:rPr>
      <w:sz w:val="48"/>
    </w:rPr>
  </w:style>
  <w:style w:styleId="Style_38" w:type="paragraph">
    <w:name w:val="heading 4"/>
    <w:link w:val="Style_38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link w:val="Style_38"/>
    <w:rPr>
      <w:rFonts w:ascii="Arial" w:hAnsi="Arial"/>
      <w:b w:val="1"/>
      <w:sz w:val="26"/>
    </w:rPr>
  </w:style>
  <w:style w:styleId="Style_39" w:type="paragraph">
    <w:name w:val="heading 2"/>
    <w:link w:val="Style_39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link w:val="Style_39"/>
    <w:rPr>
      <w:rFonts w:ascii="Arial" w:hAnsi="Arial"/>
      <w:sz w:val="34"/>
    </w:rPr>
  </w:style>
  <w:style w:styleId="Style_40" w:type="paragraph">
    <w:name w:val="heading 6"/>
    <w:link w:val="Style_40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0_ch" w:type="character">
    <w:name w:val="heading 6"/>
    <w:link w:val="Style_40"/>
    <w:rPr>
      <w:rFonts w:ascii="Arial" w:hAnsi="Arial"/>
      <w:b w:val="1"/>
    </w:rPr>
  </w:style>
  <w:style w:styleId="Style_4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2" w:type="table">
    <w:name w:val="List Table 1 Light - Accent 4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3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4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5" w:type="table">
    <w:name w:val="Plain Table 4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6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7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9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1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3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Lined - Accent 6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Bordered &amp; Lined - Accent 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Plain Table 3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Bordered &amp; Lined - Accent 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1 Light - Accent 5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ned - Accent 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Bordered &amp; Lined - Accent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List Table 1 Light - Accent 2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&amp; Lined - Accent 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1 Light - Accent 6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1 Light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st Table 1 Light - Accent 1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ned - Accent 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Plain Table 5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Lined - Accent 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Bordered &amp; Lined - Accent 6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Bordered &amp; Lined - Accent 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ned - Accent 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&amp; Lined - Accent 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ned - Accent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ned - Accent 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1 Light - Accent 3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2023-08-03T10:24:54Z</dcterms:modified>
</cp:coreProperties>
</file>